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79" w:rsidRPr="00F51891" w:rsidRDefault="00ED2479" w:rsidP="00ED2479">
      <w:pPr>
        <w:ind w:left="4080" w:firstLine="315"/>
        <w:jc w:val="right"/>
        <w:rPr>
          <w:rFonts w:ascii="Book Antiqua" w:hAnsi="Book Antiqua" w:cs="Arial"/>
          <w:sz w:val="22"/>
          <w:szCs w:val="22"/>
        </w:rPr>
      </w:pPr>
      <w:r w:rsidRPr="00F51891">
        <w:rPr>
          <w:rFonts w:ascii="Book Antiqua" w:hAnsi="Book Antiqua" w:cs="Arial"/>
          <w:sz w:val="22"/>
          <w:szCs w:val="22"/>
        </w:rPr>
        <w:t>Buenos Aires, 25 de Octubre 2020</w:t>
      </w:r>
    </w:p>
    <w:p w:rsidR="00ED2479" w:rsidRPr="00F51891" w:rsidRDefault="00ED2479" w:rsidP="00ED2479">
      <w:pPr>
        <w:ind w:left="4080" w:firstLine="680"/>
        <w:jc w:val="both"/>
        <w:rPr>
          <w:rFonts w:ascii="Book Antiqua" w:hAnsi="Book Antiqua" w:cs="Arial"/>
          <w:sz w:val="22"/>
          <w:szCs w:val="22"/>
        </w:rPr>
      </w:pPr>
    </w:p>
    <w:p w:rsidR="00ED2479" w:rsidRPr="00F51891" w:rsidRDefault="00ED2479" w:rsidP="00ED2479">
      <w:pPr>
        <w:ind w:left="4080" w:firstLine="680"/>
        <w:jc w:val="both"/>
        <w:rPr>
          <w:rFonts w:ascii="Book Antiqua" w:hAnsi="Book Antiqua" w:cs="Arial"/>
          <w:sz w:val="22"/>
          <w:szCs w:val="22"/>
        </w:rPr>
      </w:pPr>
    </w:p>
    <w:p w:rsidR="00ED2479" w:rsidRPr="00F51891" w:rsidRDefault="00ED2479" w:rsidP="00ED2479">
      <w:pPr>
        <w:jc w:val="center"/>
        <w:rPr>
          <w:rFonts w:ascii="Book Antiqua" w:hAnsi="Book Antiqua" w:cs="Arial"/>
          <w:sz w:val="22"/>
          <w:szCs w:val="22"/>
          <w:u w:val="single"/>
        </w:rPr>
      </w:pPr>
      <w:r w:rsidRPr="00F51891">
        <w:rPr>
          <w:rFonts w:ascii="Book Antiqua" w:hAnsi="Book Antiqua" w:cs="Arial"/>
          <w:sz w:val="22"/>
          <w:szCs w:val="22"/>
          <w:u w:val="single"/>
        </w:rPr>
        <w:t xml:space="preserve">Convocatoria a </w:t>
      </w:r>
    </w:p>
    <w:p w:rsidR="00ED2479" w:rsidRPr="00F51891" w:rsidRDefault="00ED2479" w:rsidP="00ED2479">
      <w:pPr>
        <w:jc w:val="center"/>
        <w:rPr>
          <w:rFonts w:ascii="Book Antiqua" w:hAnsi="Book Antiqua" w:cs="Arial"/>
          <w:sz w:val="22"/>
          <w:szCs w:val="22"/>
          <w:u w:val="single"/>
        </w:rPr>
      </w:pPr>
      <w:r w:rsidRPr="00F51891">
        <w:rPr>
          <w:rFonts w:ascii="Book Antiqua" w:hAnsi="Book Antiqua" w:cs="Arial"/>
          <w:sz w:val="22"/>
          <w:szCs w:val="22"/>
          <w:u w:val="single"/>
        </w:rPr>
        <w:t>Asamblea General Ordinaria.</w:t>
      </w:r>
    </w:p>
    <w:p w:rsidR="00ED2479" w:rsidRPr="00F51891" w:rsidRDefault="00ED2479" w:rsidP="00ED2479">
      <w:pPr>
        <w:jc w:val="center"/>
        <w:rPr>
          <w:rFonts w:ascii="Book Antiqua" w:hAnsi="Book Antiqua"/>
          <w:sz w:val="22"/>
          <w:szCs w:val="22"/>
        </w:rPr>
      </w:pPr>
      <w:bookmarkStart w:id="0" w:name="_GoBack"/>
      <w:bookmarkEnd w:id="0"/>
    </w:p>
    <w:p w:rsidR="00ED2479" w:rsidRPr="00F51891" w:rsidRDefault="00ED2479" w:rsidP="00ED2479">
      <w:pPr>
        <w:jc w:val="center"/>
        <w:rPr>
          <w:rFonts w:ascii="Book Antiqua" w:hAnsi="Book Antiqua"/>
          <w:sz w:val="22"/>
          <w:szCs w:val="22"/>
        </w:rPr>
      </w:pPr>
    </w:p>
    <w:p w:rsidR="00ED2479" w:rsidRPr="00F51891" w:rsidRDefault="00ED2479" w:rsidP="00ED2479">
      <w:pPr>
        <w:jc w:val="center"/>
        <w:rPr>
          <w:rFonts w:ascii="Book Antiqua" w:hAnsi="Book Antiqua"/>
          <w:sz w:val="22"/>
          <w:szCs w:val="22"/>
        </w:rPr>
      </w:pPr>
    </w:p>
    <w:p w:rsidR="00ED2479" w:rsidRPr="00F51891" w:rsidRDefault="00ED2479" w:rsidP="00ED2479">
      <w:pPr>
        <w:jc w:val="both"/>
        <w:rPr>
          <w:rFonts w:ascii="Book Antiqua" w:hAnsi="Book Antiqua" w:cs="Calibri"/>
          <w:sz w:val="22"/>
          <w:szCs w:val="22"/>
        </w:rPr>
      </w:pPr>
      <w:r w:rsidRPr="00F51891">
        <w:rPr>
          <w:rFonts w:ascii="Book Antiqua" w:hAnsi="Book Antiqua" w:cs="Calibri"/>
          <w:sz w:val="22"/>
          <w:szCs w:val="22"/>
          <w:lang w:val="es-MX" w:eastAsia="es-MX"/>
        </w:rPr>
        <w:t xml:space="preserve">En virtud de la pandemia generada por el COVID-19, la Inspección General de Justicia (IGJ) dictó, mediante la resolución general 11/2020, publicada en el Boletín Oficial de la República Argentina del 27 de marzo de 2020, </w:t>
      </w:r>
      <w:r w:rsidRPr="00F51891">
        <w:rPr>
          <w:rFonts w:ascii="Book Antiqua" w:hAnsi="Book Antiqua" w:cs="Calibri"/>
          <w:sz w:val="22"/>
          <w:szCs w:val="22"/>
        </w:rPr>
        <w:t>en virtud de la cual permitió adoptar medidas para facilitar el correcto funcionamiento de todas las personas jurídicas sujetas a su control, jurisdicción que le compete respecto de esta entidad, y con el fin de tratar asuntos de imperiosa necesidad y urgencia, sumada la finalidad de no paralizar la vida orgánica, el funcionamiento administrativo y la operatoria normal y habitual de la Cámara de Comerciantes Mayoristas e Industriales, la Presidente ha resuelto en el marco del artículo 19 del estatuto social, convocar a Asamblea General Ordinaria a celebrarse a distancia, mediante la plataforma Zoom.</w:t>
      </w:r>
    </w:p>
    <w:p w:rsidR="00ED2479" w:rsidRPr="00F51891" w:rsidRDefault="00ED2479" w:rsidP="00ED2479">
      <w:pPr>
        <w:jc w:val="both"/>
        <w:rPr>
          <w:rFonts w:ascii="Book Antiqua" w:hAnsi="Book Antiqua" w:cs="Calibri"/>
          <w:sz w:val="22"/>
          <w:szCs w:val="22"/>
        </w:rPr>
      </w:pPr>
    </w:p>
    <w:p w:rsidR="00ED2479" w:rsidRPr="00F51891" w:rsidRDefault="00ED2479" w:rsidP="00ED2479">
      <w:pPr>
        <w:jc w:val="both"/>
        <w:rPr>
          <w:rFonts w:ascii="Book Antiqua" w:hAnsi="Book Antiqua"/>
          <w:sz w:val="22"/>
          <w:szCs w:val="22"/>
        </w:rPr>
      </w:pPr>
      <w:r w:rsidRPr="00F51891">
        <w:rPr>
          <w:rFonts w:ascii="Book Antiqua" w:hAnsi="Book Antiqua" w:cs="Calibri"/>
          <w:sz w:val="22"/>
          <w:szCs w:val="22"/>
          <w:lang w:val="es-MX" w:eastAsia="es-MX"/>
        </w:rPr>
        <w:t xml:space="preserve">En cumplimiento de lo dispuesto por el Art. 25º Y 35° del Estatuto, se procede a convocar a Asamblea General Extraordinaria para el día 27 de Noviembre a las 16:00 </w:t>
      </w:r>
      <w:proofErr w:type="spellStart"/>
      <w:r w:rsidRPr="00F51891">
        <w:rPr>
          <w:rFonts w:ascii="Book Antiqua" w:hAnsi="Book Antiqua" w:cs="Calibri"/>
          <w:sz w:val="22"/>
          <w:szCs w:val="22"/>
          <w:lang w:val="es-MX" w:eastAsia="es-MX"/>
        </w:rPr>
        <w:t>hs</w:t>
      </w:r>
      <w:proofErr w:type="spellEnd"/>
      <w:r w:rsidRPr="00F51891">
        <w:rPr>
          <w:rFonts w:ascii="Book Antiqua" w:hAnsi="Book Antiqua" w:cs="Calibri"/>
          <w:sz w:val="22"/>
          <w:szCs w:val="22"/>
          <w:lang w:val="es-MX" w:eastAsia="es-MX"/>
        </w:rPr>
        <w:t>.,</w:t>
      </w:r>
      <w:r w:rsidRPr="00F51891">
        <w:rPr>
          <w:rFonts w:ascii="Book Antiqua" w:hAnsi="Book Antiqua"/>
          <w:sz w:val="22"/>
          <w:szCs w:val="22"/>
        </w:rPr>
        <w:t xml:space="preserve"> donde se pondrá a disposición de los asociados la Memoria y Balance General e Inventario del Ejercicio.</w:t>
      </w:r>
    </w:p>
    <w:p w:rsidR="00ED2479" w:rsidRPr="00F51891" w:rsidRDefault="00ED2479" w:rsidP="00ED2479">
      <w:pPr>
        <w:jc w:val="both"/>
        <w:rPr>
          <w:rFonts w:ascii="Book Antiqua" w:hAnsi="Book Antiqua" w:cs="Calibri"/>
          <w:sz w:val="22"/>
          <w:szCs w:val="22"/>
          <w:lang w:val="es-MX" w:eastAsia="es-MX"/>
        </w:rPr>
      </w:pPr>
    </w:p>
    <w:p w:rsidR="00ED2479" w:rsidRPr="00F51891" w:rsidRDefault="00ED2479" w:rsidP="00ED2479">
      <w:pPr>
        <w:jc w:val="both"/>
        <w:rPr>
          <w:rFonts w:ascii="Book Antiqua" w:hAnsi="Book Antiqua" w:cs="Calibri"/>
          <w:sz w:val="22"/>
          <w:szCs w:val="22"/>
          <w:lang w:val="es-MX" w:eastAsia="es-MX"/>
        </w:rPr>
      </w:pPr>
      <w:r w:rsidRPr="00F51891">
        <w:rPr>
          <w:rFonts w:ascii="Book Antiqua" w:hAnsi="Book Antiqua" w:cs="Calibri"/>
          <w:sz w:val="22"/>
          <w:szCs w:val="22"/>
          <w:lang w:val="es-MX" w:eastAsia="es-MX"/>
        </w:rPr>
        <w:t>En sus considerandos, la IGJ cita al Código Civil y Comercial de la Nación (</w:t>
      </w:r>
      <w:proofErr w:type="spellStart"/>
      <w:r w:rsidRPr="00F51891">
        <w:rPr>
          <w:rFonts w:ascii="Book Antiqua" w:hAnsi="Book Antiqua" w:cs="Calibri"/>
          <w:sz w:val="22"/>
          <w:szCs w:val="22"/>
          <w:lang w:val="es-MX" w:eastAsia="es-MX"/>
        </w:rPr>
        <w:t>CCyCo</w:t>
      </w:r>
      <w:proofErr w:type="spellEnd"/>
      <w:r w:rsidRPr="00F51891">
        <w:rPr>
          <w:rFonts w:ascii="Book Antiqua" w:hAnsi="Book Antiqua" w:cs="Calibri"/>
          <w:sz w:val="22"/>
          <w:szCs w:val="22"/>
          <w:lang w:val="es-MX" w:eastAsia="es-MX"/>
        </w:rPr>
        <w:t>.) que, mediante su artículo 158, inciso a), ya habilitaba a los órganos de gobierno a celebrar reuniones a distancia siguiendo los siguientes recaudos:</w:t>
      </w:r>
    </w:p>
    <w:p w:rsidR="00ED2479" w:rsidRPr="00F51891" w:rsidRDefault="00ED2479" w:rsidP="00ED2479">
      <w:pPr>
        <w:shd w:val="clear" w:color="auto" w:fill="FFFFFF"/>
        <w:jc w:val="both"/>
        <w:rPr>
          <w:rFonts w:ascii="Book Antiqua" w:hAnsi="Book Antiqua" w:cs="Calibri"/>
          <w:sz w:val="22"/>
          <w:szCs w:val="22"/>
          <w:lang w:val="es-MX" w:eastAsia="es-MX"/>
        </w:rPr>
      </w:pPr>
    </w:p>
    <w:p w:rsidR="00ED2479" w:rsidRPr="00F51891" w:rsidRDefault="00ED2479" w:rsidP="00ED2479">
      <w:pPr>
        <w:jc w:val="both"/>
        <w:rPr>
          <w:rFonts w:ascii="Book Antiqua" w:hAnsi="Book Antiqua" w:cs="Calibri"/>
          <w:sz w:val="22"/>
          <w:szCs w:val="22"/>
        </w:rPr>
      </w:pPr>
      <w:r w:rsidRPr="00F51891">
        <w:rPr>
          <w:rFonts w:ascii="Book Antiqua" w:hAnsi="Book Antiqua" w:cs="Calibri"/>
          <w:sz w:val="22"/>
          <w:szCs w:val="22"/>
        </w:rPr>
        <w:t>Los Sres. Miembros de la Comisión Directiva participarán en simultáneo del audio y video pudiendo ejercer adecuadamente su derecho de voz y voto.</w:t>
      </w:r>
    </w:p>
    <w:p w:rsidR="00ED2479" w:rsidRPr="00F51891" w:rsidRDefault="00ED2479" w:rsidP="00ED2479">
      <w:pPr>
        <w:jc w:val="both"/>
        <w:rPr>
          <w:rFonts w:ascii="Book Antiqua" w:hAnsi="Book Antiqua" w:cs="Calibri"/>
          <w:sz w:val="22"/>
          <w:szCs w:val="22"/>
        </w:rPr>
      </w:pPr>
      <w:r w:rsidRPr="00F51891">
        <w:rPr>
          <w:rFonts w:ascii="Book Antiqua" w:hAnsi="Book Antiqua" w:cs="Calibri"/>
          <w:sz w:val="22"/>
          <w:szCs w:val="22"/>
        </w:rPr>
        <w:t>La reunión convocada será grabada en soporte digital cuyo resguardo será conservado por el término de cinco años y estará a disposición de los legitimados para su consulta. En la oportunidad que las condiciones lo permitan, se transcribirá al libro correspondiente lo acontecido en la reunión dejando expresa constancia de las personas que participaron, siendo ésta suscripta por el Presidente y el Secretario de la entidad.</w:t>
      </w:r>
    </w:p>
    <w:p w:rsidR="00ED2479" w:rsidRPr="00F51891" w:rsidRDefault="00ED2479" w:rsidP="00ED2479">
      <w:pPr>
        <w:jc w:val="both"/>
        <w:rPr>
          <w:rFonts w:ascii="Book Antiqua" w:hAnsi="Book Antiqua" w:cs="Calibri"/>
          <w:sz w:val="22"/>
          <w:szCs w:val="22"/>
        </w:rPr>
      </w:pPr>
    </w:p>
    <w:p w:rsidR="00ED2479" w:rsidRPr="00F51891" w:rsidRDefault="00ED2479" w:rsidP="00ED2479">
      <w:pPr>
        <w:jc w:val="both"/>
        <w:rPr>
          <w:rFonts w:ascii="Book Antiqua" w:hAnsi="Book Antiqua" w:cs="Arial"/>
          <w:b/>
          <w:sz w:val="22"/>
          <w:szCs w:val="22"/>
        </w:rPr>
      </w:pPr>
      <w:r w:rsidRPr="00F51891">
        <w:rPr>
          <w:rFonts w:ascii="Book Antiqua" w:hAnsi="Book Antiqua" w:cs="Arial"/>
          <w:b/>
          <w:sz w:val="22"/>
          <w:szCs w:val="22"/>
        </w:rPr>
        <w:t>Se tratara el siguiente Orden del Día:</w:t>
      </w:r>
    </w:p>
    <w:p w:rsidR="00ED2479" w:rsidRPr="00F51891" w:rsidRDefault="00ED2479" w:rsidP="00ED2479">
      <w:pPr>
        <w:pStyle w:val="Prrafodelista"/>
        <w:shd w:val="clear" w:color="auto" w:fill="FFFFFF"/>
        <w:spacing w:before="100" w:beforeAutospacing="1" w:after="100" w:afterAutospacing="1"/>
        <w:ind w:left="0"/>
        <w:jc w:val="both"/>
        <w:rPr>
          <w:rFonts w:ascii="Book Antiqua" w:eastAsia="Times New Roman" w:hAnsi="Book Antiqua" w:cs="Arial"/>
          <w:b/>
        </w:rPr>
      </w:pPr>
      <w:r w:rsidRPr="00F51891">
        <w:rPr>
          <w:rFonts w:ascii="Book Antiqua" w:eastAsia="Times New Roman" w:hAnsi="Book Antiqua" w:cs="Arial"/>
          <w:b/>
        </w:rPr>
        <w:t xml:space="preserve">Punto 1 - El </w:t>
      </w:r>
      <w:proofErr w:type="spellStart"/>
      <w:r w:rsidRPr="00F51891">
        <w:rPr>
          <w:rFonts w:ascii="Book Antiqua" w:eastAsia="Times New Roman" w:hAnsi="Book Antiqua" w:cs="Arial"/>
          <w:b/>
        </w:rPr>
        <w:t>presidente</w:t>
      </w:r>
      <w:proofErr w:type="spellEnd"/>
      <w:r w:rsidRPr="00F51891">
        <w:rPr>
          <w:rFonts w:ascii="Book Antiqua" w:eastAsia="Times New Roman" w:hAnsi="Book Antiqua" w:cs="Arial"/>
          <w:b/>
        </w:rPr>
        <w:t xml:space="preserve"> de la </w:t>
      </w:r>
      <w:proofErr w:type="spellStart"/>
      <w:r w:rsidRPr="00F51891">
        <w:rPr>
          <w:rFonts w:ascii="Book Antiqua" w:eastAsia="Times New Roman" w:hAnsi="Book Antiqua" w:cs="Arial"/>
          <w:b/>
        </w:rPr>
        <w:t>entidad</w:t>
      </w:r>
      <w:proofErr w:type="spellEnd"/>
      <w:r w:rsidRPr="00F51891">
        <w:rPr>
          <w:rFonts w:ascii="Book Antiqua" w:eastAsia="Times New Roman" w:hAnsi="Book Antiqua" w:cs="Arial"/>
          <w:b/>
        </w:rPr>
        <w:t xml:space="preserve"> </w:t>
      </w:r>
      <w:proofErr w:type="spellStart"/>
      <w:proofErr w:type="gramStart"/>
      <w:r w:rsidRPr="00F51891">
        <w:rPr>
          <w:rFonts w:ascii="Book Antiqua" w:eastAsia="Times New Roman" w:hAnsi="Book Antiqua" w:cs="Arial"/>
          <w:b/>
        </w:rPr>
        <w:t>va</w:t>
      </w:r>
      <w:proofErr w:type="spellEnd"/>
      <w:proofErr w:type="gramEnd"/>
      <w:r w:rsidRPr="00F51891">
        <w:rPr>
          <w:rFonts w:ascii="Book Antiqua" w:eastAsia="Times New Roman" w:hAnsi="Book Antiqua" w:cs="Arial"/>
          <w:b/>
        </w:rPr>
        <w:t xml:space="preserve"> </w:t>
      </w:r>
      <w:proofErr w:type="spellStart"/>
      <w:r w:rsidRPr="00F51891">
        <w:rPr>
          <w:rFonts w:ascii="Book Antiqua" w:eastAsia="Times New Roman" w:hAnsi="Book Antiqua" w:cs="Arial"/>
          <w:b/>
        </w:rPr>
        <w:t>dando</w:t>
      </w:r>
      <w:proofErr w:type="spellEnd"/>
      <w:r w:rsidRPr="00F51891">
        <w:rPr>
          <w:rFonts w:ascii="Book Antiqua" w:eastAsia="Times New Roman" w:hAnsi="Book Antiqua" w:cs="Arial"/>
          <w:b/>
        </w:rPr>
        <w:t xml:space="preserve"> la palabra para que </w:t>
      </w:r>
      <w:proofErr w:type="spellStart"/>
      <w:r w:rsidRPr="00F51891">
        <w:rPr>
          <w:rFonts w:ascii="Book Antiqua" w:eastAsia="Times New Roman" w:hAnsi="Book Antiqua" w:cs="Arial"/>
          <w:b/>
        </w:rPr>
        <w:t>todos</w:t>
      </w:r>
      <w:proofErr w:type="spellEnd"/>
      <w:r w:rsidRPr="00F51891">
        <w:rPr>
          <w:rFonts w:ascii="Book Antiqua" w:eastAsia="Times New Roman" w:hAnsi="Book Antiqua" w:cs="Arial"/>
          <w:b/>
        </w:rPr>
        <w:t xml:space="preserve"> </w:t>
      </w:r>
      <w:proofErr w:type="spellStart"/>
      <w:r w:rsidRPr="00F51891">
        <w:rPr>
          <w:rFonts w:ascii="Book Antiqua" w:eastAsia="Times New Roman" w:hAnsi="Book Antiqua" w:cs="Arial"/>
          <w:b/>
        </w:rPr>
        <w:t>los</w:t>
      </w:r>
      <w:proofErr w:type="spellEnd"/>
      <w:r w:rsidRPr="00F51891">
        <w:rPr>
          <w:rFonts w:ascii="Book Antiqua" w:eastAsia="Times New Roman" w:hAnsi="Book Antiqua" w:cs="Arial"/>
          <w:b/>
        </w:rPr>
        <w:t xml:space="preserve"> </w:t>
      </w:r>
      <w:proofErr w:type="spellStart"/>
      <w:r w:rsidRPr="00F51891">
        <w:rPr>
          <w:rFonts w:ascii="Book Antiqua" w:eastAsia="Times New Roman" w:hAnsi="Book Antiqua" w:cs="Arial"/>
          <w:b/>
        </w:rPr>
        <w:t>participantes</w:t>
      </w:r>
      <w:proofErr w:type="spellEnd"/>
      <w:r w:rsidRPr="00F51891">
        <w:rPr>
          <w:rFonts w:ascii="Book Antiqua" w:eastAsia="Times New Roman" w:hAnsi="Book Antiqua" w:cs="Arial"/>
          <w:b/>
        </w:rPr>
        <w:t xml:space="preserve"> den el </w:t>
      </w:r>
      <w:proofErr w:type="spellStart"/>
      <w:r w:rsidRPr="00F51891">
        <w:rPr>
          <w:rFonts w:ascii="Book Antiqua" w:eastAsia="Times New Roman" w:hAnsi="Book Antiqua" w:cs="Arial"/>
          <w:b/>
        </w:rPr>
        <w:t>presente</w:t>
      </w:r>
      <w:proofErr w:type="spellEnd"/>
      <w:r w:rsidRPr="00F51891">
        <w:rPr>
          <w:rFonts w:ascii="Book Antiqua" w:eastAsia="Times New Roman" w:hAnsi="Book Antiqua" w:cs="Arial"/>
          <w:b/>
        </w:rPr>
        <w:t>:</w:t>
      </w:r>
    </w:p>
    <w:p w:rsidR="00ED2479" w:rsidRPr="00F51891" w:rsidRDefault="00ED2479" w:rsidP="00ED2479">
      <w:pPr>
        <w:pStyle w:val="Prrafodelista"/>
        <w:shd w:val="clear" w:color="auto" w:fill="FFFFFF"/>
        <w:spacing w:before="100" w:beforeAutospacing="1" w:after="100" w:afterAutospacing="1"/>
        <w:ind w:left="0"/>
        <w:jc w:val="both"/>
        <w:rPr>
          <w:rFonts w:ascii="Book Antiqua" w:eastAsia="Times New Roman" w:hAnsi="Book Antiqua" w:cs="Arial"/>
          <w:b/>
        </w:rPr>
      </w:pPr>
    </w:p>
    <w:p w:rsidR="00ED2479" w:rsidRPr="00F51891" w:rsidRDefault="00ED2479" w:rsidP="00ED2479">
      <w:pPr>
        <w:jc w:val="both"/>
        <w:rPr>
          <w:rFonts w:ascii="Book Antiqua" w:hAnsi="Book Antiqua"/>
          <w:b/>
          <w:sz w:val="22"/>
          <w:szCs w:val="22"/>
        </w:rPr>
      </w:pPr>
      <w:r w:rsidRPr="00F51891">
        <w:rPr>
          <w:rFonts w:ascii="Book Antiqua" w:hAnsi="Book Antiqua" w:cs="Arial"/>
          <w:b/>
          <w:sz w:val="22"/>
          <w:szCs w:val="22"/>
        </w:rPr>
        <w:lastRenderedPageBreak/>
        <w:t xml:space="preserve">Punto 2 - </w:t>
      </w:r>
      <w:r w:rsidRPr="00F51891">
        <w:rPr>
          <w:rFonts w:ascii="Book Antiqua" w:hAnsi="Book Antiqua"/>
          <w:b/>
          <w:sz w:val="22"/>
          <w:szCs w:val="22"/>
        </w:rPr>
        <w:t xml:space="preserve">Designación de 2 (Dos) socios para la firma conjuntamente con el Presidente y el Secretario General de la Entidad el acta de Asamblea. </w:t>
      </w:r>
    </w:p>
    <w:p w:rsidR="00ED2479" w:rsidRPr="00F51891" w:rsidRDefault="00ED2479" w:rsidP="00ED2479">
      <w:pPr>
        <w:ind w:left="1276" w:hanging="349"/>
        <w:jc w:val="both"/>
        <w:rPr>
          <w:rFonts w:ascii="Book Antiqua" w:hAnsi="Book Antiqua"/>
          <w:sz w:val="22"/>
          <w:szCs w:val="22"/>
        </w:rPr>
      </w:pPr>
      <w:r w:rsidRPr="00F51891">
        <w:rPr>
          <w:rFonts w:ascii="Book Antiqua" w:hAnsi="Book Antiqua"/>
          <w:sz w:val="22"/>
          <w:szCs w:val="22"/>
        </w:rPr>
        <w:t> </w:t>
      </w:r>
    </w:p>
    <w:p w:rsidR="00ED2479" w:rsidRPr="00F51891" w:rsidRDefault="00ED2479" w:rsidP="00ED2479">
      <w:pPr>
        <w:jc w:val="both"/>
        <w:rPr>
          <w:rFonts w:ascii="Book Antiqua" w:hAnsi="Book Antiqua"/>
          <w:b/>
          <w:sz w:val="22"/>
          <w:szCs w:val="22"/>
          <w:lang w:val="es-ES_tradnl"/>
        </w:rPr>
      </w:pPr>
      <w:r w:rsidRPr="00F51891">
        <w:rPr>
          <w:rFonts w:ascii="Book Antiqua" w:hAnsi="Book Antiqua" w:cs="Arial"/>
          <w:b/>
          <w:sz w:val="22"/>
          <w:szCs w:val="22"/>
        </w:rPr>
        <w:t xml:space="preserve">Punto 3 - </w:t>
      </w:r>
      <w:r w:rsidRPr="00F51891">
        <w:rPr>
          <w:rFonts w:ascii="Book Antiqua" w:hAnsi="Book Antiqua"/>
          <w:b/>
          <w:sz w:val="22"/>
          <w:szCs w:val="22"/>
        </w:rPr>
        <w:t>Consideración de la Memoria, Inventario, Balance General, el Estado de Recursos y Gastos, el Estado de Evolución del Patrimonio Neto e informe del órgano de Fiscalización correspondientes al Ejercicio cerrado el 31 de Agosto de 2020.</w:t>
      </w:r>
    </w:p>
    <w:p w:rsidR="00ED2479" w:rsidRPr="00F51891" w:rsidRDefault="00ED2479" w:rsidP="00ED2479">
      <w:pPr>
        <w:jc w:val="both"/>
        <w:rPr>
          <w:rFonts w:ascii="Book Antiqua" w:hAnsi="Book Antiqua" w:cs="Arial"/>
          <w:b/>
          <w:sz w:val="22"/>
          <w:szCs w:val="22"/>
        </w:rPr>
      </w:pPr>
    </w:p>
    <w:p w:rsidR="00ED2479" w:rsidRPr="00F51891" w:rsidRDefault="00ED2479" w:rsidP="00ED2479">
      <w:pPr>
        <w:jc w:val="both"/>
        <w:rPr>
          <w:rFonts w:ascii="Book Antiqua" w:hAnsi="Book Antiqua"/>
          <w:b/>
          <w:sz w:val="22"/>
          <w:szCs w:val="22"/>
          <w:lang w:val="es-ES_tradnl"/>
        </w:rPr>
      </w:pPr>
      <w:r w:rsidRPr="00F51891">
        <w:rPr>
          <w:rFonts w:ascii="Book Antiqua" w:hAnsi="Book Antiqua" w:cs="Arial"/>
          <w:b/>
          <w:sz w:val="22"/>
          <w:szCs w:val="22"/>
        </w:rPr>
        <w:t xml:space="preserve">Punto 4 - </w:t>
      </w:r>
      <w:r w:rsidRPr="00F51891">
        <w:rPr>
          <w:rFonts w:ascii="Book Antiqua" w:hAnsi="Book Antiqua"/>
          <w:b/>
          <w:sz w:val="22"/>
          <w:szCs w:val="22"/>
        </w:rPr>
        <w:t>Elección parcial de la Comisión Directiva, con la elección de:</w:t>
      </w:r>
    </w:p>
    <w:p w:rsidR="00ED2479" w:rsidRPr="00F51891" w:rsidRDefault="00ED2479" w:rsidP="00ED2479">
      <w:pPr>
        <w:shd w:val="clear" w:color="auto" w:fill="FFFFFF"/>
        <w:ind w:left="927"/>
        <w:jc w:val="both"/>
        <w:rPr>
          <w:rFonts w:ascii="Book Antiqua" w:hAnsi="Book Antiqua" w:cs="Arial"/>
          <w:sz w:val="22"/>
          <w:szCs w:val="22"/>
          <w:lang w:eastAsia="es-ES_tradnl"/>
        </w:rPr>
      </w:pPr>
    </w:p>
    <w:tbl>
      <w:tblPr>
        <w:tblW w:w="9140" w:type="dxa"/>
        <w:tblInd w:w="53" w:type="dxa"/>
        <w:tblCellMar>
          <w:left w:w="70" w:type="dxa"/>
          <w:right w:w="70" w:type="dxa"/>
        </w:tblCellMar>
        <w:tblLook w:val="04A0" w:firstRow="1" w:lastRow="0" w:firstColumn="1" w:lastColumn="0" w:noHBand="0" w:noVBand="1"/>
      </w:tblPr>
      <w:tblGrid>
        <w:gridCol w:w="9140"/>
      </w:tblGrid>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Presidente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Vicepresidente 1°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Vicepresidente 2°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Un (1) Secretario por el termino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Un (1) Prosecretario por el termino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Secretario de Actas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Tesorero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 xml:space="preserve">Un (1) Protesorero por el </w:t>
            </w:r>
            <w:proofErr w:type="spellStart"/>
            <w:r w:rsidRPr="00F51891">
              <w:rPr>
                <w:rFonts w:ascii="Book Antiqua" w:hAnsi="Book Antiqua" w:cs="Arial"/>
                <w:color w:val="000000"/>
                <w:sz w:val="22"/>
                <w:szCs w:val="22"/>
                <w:lang w:eastAsia="es-ES_tradnl"/>
              </w:rPr>
              <w:t>termino</w:t>
            </w:r>
            <w:proofErr w:type="spellEnd"/>
            <w:r w:rsidRPr="00F51891">
              <w:rPr>
                <w:rFonts w:ascii="Book Antiqua" w:hAnsi="Book Antiqua" w:cs="Arial"/>
                <w:color w:val="000000"/>
                <w:sz w:val="22"/>
                <w:szCs w:val="22"/>
                <w:lang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val="es-ES_tradnl" w:eastAsia="es-ES_tradnl"/>
              </w:rPr>
              <w:t xml:space="preserve">Cinco (5) Vocales Titulares por el </w:t>
            </w:r>
            <w:proofErr w:type="spellStart"/>
            <w:r w:rsidRPr="00F51891">
              <w:rPr>
                <w:rFonts w:ascii="Book Antiqua" w:hAnsi="Book Antiqua" w:cs="Arial"/>
                <w:color w:val="000000"/>
                <w:sz w:val="22"/>
                <w:szCs w:val="22"/>
                <w:lang w:val="es-ES_tradnl" w:eastAsia="es-ES_tradnl"/>
              </w:rPr>
              <w:t>termino</w:t>
            </w:r>
            <w:proofErr w:type="spellEnd"/>
            <w:r w:rsidRPr="00F51891">
              <w:rPr>
                <w:rFonts w:ascii="Book Antiqua" w:hAnsi="Book Antiqua" w:cs="Arial"/>
                <w:color w:val="000000"/>
                <w:sz w:val="22"/>
                <w:szCs w:val="22"/>
                <w:lang w:val="es-ES_tradnl" w:eastAsia="es-ES_tradnl"/>
              </w:rPr>
              <w:t xml:space="preserve"> de dos (2) años</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val="es-ES_tradnl" w:eastAsia="es-ES_tradnl"/>
              </w:rPr>
              <w:t>Dos (2) Vocales Suplentes por el termino de (un 1) año</w:t>
            </w:r>
          </w:p>
        </w:tc>
      </w:tr>
      <w:tr w:rsidR="00ED2479" w:rsidRPr="00F51891" w:rsidTr="0034549D">
        <w:trPr>
          <w:trHeight w:val="315"/>
        </w:trPr>
        <w:tc>
          <w:tcPr>
            <w:tcW w:w="9140" w:type="dxa"/>
            <w:tcBorders>
              <w:top w:val="nil"/>
              <w:left w:val="nil"/>
              <w:bottom w:val="nil"/>
              <w:right w:val="nil"/>
            </w:tcBorders>
            <w:shd w:val="clear" w:color="auto" w:fill="auto"/>
            <w:noWrap/>
            <w:vAlign w:val="bottom"/>
            <w:hideMark/>
          </w:tcPr>
          <w:p w:rsidR="00ED2479" w:rsidRPr="00F51891" w:rsidRDefault="00ED2479" w:rsidP="0034549D">
            <w:pPr>
              <w:jc w:val="both"/>
              <w:rPr>
                <w:rFonts w:ascii="Book Antiqua" w:hAnsi="Book Antiqua" w:cs="Arial"/>
                <w:color w:val="000000"/>
                <w:sz w:val="22"/>
                <w:szCs w:val="22"/>
                <w:lang w:val="es-ES_tradnl" w:eastAsia="es-ES_tradnl"/>
              </w:rPr>
            </w:pPr>
            <w:r w:rsidRPr="00F51891">
              <w:rPr>
                <w:rFonts w:ascii="Book Antiqua" w:hAnsi="Book Antiqua" w:cs="Arial"/>
                <w:color w:val="000000"/>
                <w:sz w:val="22"/>
                <w:szCs w:val="22"/>
                <w:lang w:eastAsia="es-ES_tradnl"/>
              </w:rPr>
              <w:t>Dos (2) Revisores de Cuentas por un (1) año</w:t>
            </w:r>
          </w:p>
        </w:tc>
      </w:tr>
    </w:tbl>
    <w:p w:rsidR="00ED2479" w:rsidRPr="00F51891" w:rsidRDefault="00ED2479" w:rsidP="00ED2479">
      <w:pPr>
        <w:jc w:val="both"/>
        <w:rPr>
          <w:rFonts w:ascii="Book Antiqua" w:hAnsi="Book Antiqua" w:cs="Arial"/>
          <w:sz w:val="22"/>
          <w:szCs w:val="22"/>
          <w:lang w:val="es-ES_tradnl"/>
        </w:rPr>
      </w:pPr>
    </w:p>
    <w:p w:rsidR="00ED2479" w:rsidRPr="00F51891" w:rsidRDefault="00ED2479" w:rsidP="00ED2479">
      <w:pPr>
        <w:jc w:val="both"/>
        <w:rPr>
          <w:rFonts w:ascii="Book Antiqua" w:hAnsi="Book Antiqua" w:cs="Arial"/>
          <w:noProof/>
          <w:sz w:val="22"/>
          <w:szCs w:val="22"/>
        </w:rPr>
      </w:pPr>
    </w:p>
    <w:p w:rsidR="00ED2479" w:rsidRPr="00F51891" w:rsidRDefault="00ED2479" w:rsidP="00ED2479">
      <w:pPr>
        <w:jc w:val="both"/>
        <w:rPr>
          <w:rFonts w:ascii="Book Antiqua" w:hAnsi="Book Antiqua"/>
          <w:noProof/>
          <w:sz w:val="22"/>
          <w:szCs w:val="22"/>
        </w:rPr>
      </w:pPr>
    </w:p>
    <w:p w:rsidR="00ED2479" w:rsidRPr="00F51891" w:rsidRDefault="00ED2479" w:rsidP="00ED2479">
      <w:pPr>
        <w:rPr>
          <w:rFonts w:ascii="Book Antiqua" w:hAnsi="Book Antiqua"/>
          <w:noProof/>
          <w:sz w:val="22"/>
          <w:szCs w:val="22"/>
        </w:rPr>
      </w:pPr>
    </w:p>
    <w:p w:rsidR="00ED2479" w:rsidRPr="00F51891" w:rsidRDefault="00ED2479" w:rsidP="00ED2479">
      <w:pPr>
        <w:rPr>
          <w:rFonts w:ascii="Book Antiqua" w:hAnsi="Book Antiqua"/>
          <w:noProof/>
          <w:sz w:val="22"/>
          <w:szCs w:val="22"/>
        </w:rPr>
      </w:pPr>
      <w:r w:rsidRPr="00F51891">
        <w:rPr>
          <w:rFonts w:ascii="Book Antiqua" w:hAnsi="Book Antiqua" w:cs="Arial"/>
          <w:noProof/>
          <w:color w:val="000000"/>
          <w:sz w:val="22"/>
          <w:szCs w:val="22"/>
          <w:lang w:val="es-ES"/>
        </w:rPr>
        <w:drawing>
          <wp:anchor distT="0" distB="0" distL="114300" distR="114300" simplePos="0" relativeHeight="251659264" behindDoc="1" locked="0" layoutInCell="1" allowOverlap="1">
            <wp:simplePos x="0" y="0"/>
            <wp:positionH relativeFrom="column">
              <wp:posOffset>727075</wp:posOffset>
            </wp:positionH>
            <wp:positionV relativeFrom="paragraph">
              <wp:posOffset>33020</wp:posOffset>
            </wp:positionV>
            <wp:extent cx="933450" cy="1314450"/>
            <wp:effectExtent l="0" t="0" r="0" b="0"/>
            <wp:wrapNone/>
            <wp:docPr id="3" name="Imagen 3" descr="FirmaSkrep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Skrep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479" w:rsidRPr="00F51891" w:rsidRDefault="00ED2479" w:rsidP="00ED2479">
      <w:pPr>
        <w:spacing w:line="276" w:lineRule="auto"/>
        <w:ind w:firstLine="3600"/>
        <w:jc w:val="both"/>
        <w:rPr>
          <w:rFonts w:ascii="Book Antiqua" w:hAnsi="Book Antiqua" w:cs="Arial"/>
          <w:color w:val="000000"/>
          <w:sz w:val="22"/>
          <w:szCs w:val="22"/>
        </w:rPr>
      </w:pPr>
      <w:r w:rsidRPr="00F51891">
        <w:rPr>
          <w:rFonts w:ascii="Book Antiqua" w:hAnsi="Book Antiqua" w:cs="Arial"/>
          <w:noProof/>
          <w:color w:val="000000"/>
          <w:sz w:val="22"/>
          <w:szCs w:val="22"/>
          <w:lang w:val="es-ES"/>
        </w:rPr>
        <w:drawing>
          <wp:anchor distT="0" distB="0" distL="114300" distR="114300" simplePos="0" relativeHeight="251661312" behindDoc="1" locked="0" layoutInCell="1" allowOverlap="1">
            <wp:simplePos x="0" y="0"/>
            <wp:positionH relativeFrom="column">
              <wp:posOffset>3410585</wp:posOffset>
            </wp:positionH>
            <wp:positionV relativeFrom="paragraph">
              <wp:posOffset>179070</wp:posOffset>
            </wp:positionV>
            <wp:extent cx="2105025" cy="9144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479" w:rsidRPr="00F51891" w:rsidRDefault="00ED2479" w:rsidP="00ED2479">
      <w:pPr>
        <w:spacing w:line="276" w:lineRule="auto"/>
        <w:ind w:firstLine="3600"/>
        <w:jc w:val="both"/>
        <w:rPr>
          <w:rFonts w:ascii="Book Antiqua" w:hAnsi="Book Antiqua" w:cs="Arial"/>
          <w:color w:val="000000"/>
          <w:sz w:val="22"/>
          <w:szCs w:val="22"/>
        </w:rPr>
      </w:pPr>
    </w:p>
    <w:p w:rsidR="00ED2479" w:rsidRPr="00F51891" w:rsidRDefault="00ED2479" w:rsidP="00ED2479">
      <w:pPr>
        <w:spacing w:line="276" w:lineRule="auto"/>
        <w:ind w:firstLine="3600"/>
        <w:jc w:val="both"/>
        <w:rPr>
          <w:rFonts w:ascii="Book Antiqua" w:hAnsi="Book Antiqua" w:cs="Arial"/>
          <w:color w:val="000000"/>
          <w:sz w:val="22"/>
          <w:szCs w:val="22"/>
        </w:rPr>
      </w:pPr>
    </w:p>
    <w:p w:rsidR="00ED2479" w:rsidRPr="00F51891" w:rsidRDefault="00ED2479" w:rsidP="00ED2479">
      <w:pPr>
        <w:spacing w:line="276" w:lineRule="auto"/>
        <w:ind w:firstLine="3600"/>
        <w:jc w:val="both"/>
        <w:rPr>
          <w:rFonts w:ascii="Book Antiqua" w:hAnsi="Book Antiqua" w:cs="Arial"/>
          <w:color w:val="000000"/>
          <w:sz w:val="22"/>
          <w:szCs w:val="22"/>
        </w:rPr>
      </w:pPr>
    </w:p>
    <w:p w:rsidR="00ED2479" w:rsidRPr="00F51891" w:rsidRDefault="00ED2479" w:rsidP="00ED2479">
      <w:pPr>
        <w:spacing w:line="276" w:lineRule="auto"/>
        <w:jc w:val="center"/>
        <w:rPr>
          <w:rFonts w:ascii="Book Antiqua" w:hAnsi="Book Antiqua" w:cs="Arial"/>
          <w:b/>
          <w:color w:val="000000"/>
          <w:sz w:val="22"/>
          <w:szCs w:val="22"/>
        </w:rPr>
      </w:pPr>
      <w:r w:rsidRPr="00F51891">
        <w:rPr>
          <w:rFonts w:ascii="Book Antiqua" w:hAnsi="Book Antiqua"/>
          <w:noProof/>
          <w:sz w:val="22"/>
          <w:szCs w:val="22"/>
          <w:lang w:val="es-ES"/>
        </w:rPr>
        <w:drawing>
          <wp:anchor distT="0" distB="0" distL="114300" distR="114300" simplePos="0" relativeHeight="251660288" behindDoc="0" locked="0" layoutInCell="1" allowOverlap="1">
            <wp:simplePos x="0" y="0"/>
            <wp:positionH relativeFrom="column">
              <wp:posOffset>5059045</wp:posOffset>
            </wp:positionH>
            <wp:positionV relativeFrom="paragraph">
              <wp:posOffset>6906895</wp:posOffset>
            </wp:positionV>
            <wp:extent cx="933450" cy="1314450"/>
            <wp:effectExtent l="0" t="0" r="0" b="0"/>
            <wp:wrapNone/>
            <wp:docPr id="1" name="Imagen 1" descr="FirmaSkrep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irmaSkrep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891">
        <w:rPr>
          <w:rFonts w:ascii="Book Antiqua" w:hAnsi="Book Antiqua" w:cs="Arial"/>
          <w:b/>
          <w:color w:val="000000"/>
          <w:sz w:val="22"/>
          <w:szCs w:val="22"/>
        </w:rPr>
        <w:t xml:space="preserve">Sr. Alejandro </w:t>
      </w:r>
      <w:proofErr w:type="spellStart"/>
      <w:r w:rsidRPr="00F51891">
        <w:rPr>
          <w:rFonts w:ascii="Book Antiqua" w:hAnsi="Book Antiqua" w:cs="Arial"/>
          <w:b/>
          <w:color w:val="000000"/>
          <w:sz w:val="22"/>
          <w:szCs w:val="22"/>
        </w:rPr>
        <w:t>Skrepnik</w:t>
      </w:r>
      <w:proofErr w:type="spellEnd"/>
      <w:r w:rsidRPr="00F51891">
        <w:rPr>
          <w:rFonts w:ascii="Book Antiqua" w:hAnsi="Book Antiqua" w:cs="Arial"/>
          <w:b/>
          <w:color w:val="000000"/>
          <w:sz w:val="22"/>
          <w:szCs w:val="22"/>
        </w:rPr>
        <w:tab/>
      </w:r>
      <w:r w:rsidRPr="00F51891">
        <w:rPr>
          <w:rFonts w:ascii="Book Antiqua" w:hAnsi="Book Antiqua" w:cs="Arial"/>
          <w:b/>
          <w:color w:val="000000"/>
          <w:sz w:val="22"/>
          <w:szCs w:val="22"/>
        </w:rPr>
        <w:tab/>
      </w:r>
      <w:r w:rsidRPr="00F51891">
        <w:rPr>
          <w:rFonts w:ascii="Book Antiqua" w:hAnsi="Book Antiqua" w:cs="Arial"/>
          <w:b/>
          <w:color w:val="000000"/>
          <w:sz w:val="22"/>
          <w:szCs w:val="22"/>
        </w:rPr>
        <w:tab/>
      </w:r>
      <w:r w:rsidRPr="00F51891">
        <w:rPr>
          <w:rFonts w:ascii="Book Antiqua" w:hAnsi="Book Antiqua" w:cs="Arial"/>
          <w:b/>
          <w:color w:val="000000"/>
          <w:sz w:val="22"/>
          <w:szCs w:val="22"/>
        </w:rPr>
        <w:tab/>
        <w:t xml:space="preserve">Lic. Carolina </w:t>
      </w:r>
      <w:proofErr w:type="spellStart"/>
      <w:r w:rsidRPr="00F51891">
        <w:rPr>
          <w:rFonts w:ascii="Book Antiqua" w:hAnsi="Book Antiqua" w:cs="Arial"/>
          <w:b/>
          <w:color w:val="000000"/>
          <w:sz w:val="22"/>
          <w:szCs w:val="22"/>
        </w:rPr>
        <w:t>Magariños</w:t>
      </w:r>
      <w:proofErr w:type="spellEnd"/>
    </w:p>
    <w:p w:rsidR="00ED2479" w:rsidRDefault="00ED2479" w:rsidP="00ED2479">
      <w:pPr>
        <w:spacing w:line="276" w:lineRule="auto"/>
        <w:jc w:val="center"/>
        <w:rPr>
          <w:rFonts w:ascii="Book Antiqua" w:hAnsi="Book Antiqua" w:cs="Arial"/>
          <w:color w:val="000000"/>
          <w:sz w:val="22"/>
          <w:szCs w:val="22"/>
        </w:rPr>
      </w:pPr>
      <w:r w:rsidRPr="00F51891">
        <w:rPr>
          <w:rFonts w:ascii="Book Antiqua" w:hAnsi="Book Antiqua" w:cs="Arial"/>
          <w:color w:val="000000"/>
          <w:sz w:val="22"/>
          <w:szCs w:val="22"/>
        </w:rPr>
        <w:t xml:space="preserve">Secretario General  </w:t>
      </w:r>
      <w:r w:rsidRPr="00F51891">
        <w:rPr>
          <w:rFonts w:ascii="Book Antiqua" w:hAnsi="Book Antiqua" w:cs="Arial"/>
          <w:color w:val="000000"/>
          <w:sz w:val="22"/>
          <w:szCs w:val="22"/>
        </w:rPr>
        <w:tab/>
      </w:r>
      <w:r w:rsidRPr="00F51891">
        <w:rPr>
          <w:rFonts w:ascii="Book Antiqua" w:hAnsi="Book Antiqua" w:cs="Arial"/>
          <w:color w:val="000000"/>
          <w:sz w:val="22"/>
          <w:szCs w:val="22"/>
        </w:rPr>
        <w:tab/>
      </w:r>
      <w:r w:rsidRPr="00F51891">
        <w:rPr>
          <w:rFonts w:ascii="Book Antiqua" w:hAnsi="Book Antiqua" w:cs="Arial"/>
          <w:color w:val="000000"/>
          <w:sz w:val="22"/>
          <w:szCs w:val="22"/>
        </w:rPr>
        <w:tab/>
      </w:r>
      <w:r w:rsidRPr="00F51891">
        <w:rPr>
          <w:rFonts w:ascii="Book Antiqua" w:hAnsi="Book Antiqua" w:cs="Arial"/>
          <w:color w:val="000000"/>
          <w:sz w:val="22"/>
          <w:szCs w:val="22"/>
        </w:rPr>
        <w:tab/>
      </w:r>
      <w:r w:rsidRPr="00F51891">
        <w:rPr>
          <w:rFonts w:ascii="Book Antiqua" w:hAnsi="Book Antiqua" w:cs="Arial"/>
          <w:color w:val="000000"/>
          <w:sz w:val="22"/>
          <w:szCs w:val="22"/>
        </w:rPr>
        <w:tab/>
      </w:r>
      <w:r w:rsidRPr="00F51891">
        <w:rPr>
          <w:rFonts w:ascii="Book Antiqua" w:hAnsi="Book Antiqua" w:cs="Arial"/>
          <w:color w:val="000000"/>
          <w:sz w:val="22"/>
          <w:szCs w:val="22"/>
        </w:rPr>
        <w:tab/>
        <w:t xml:space="preserve">        Presidente</w:t>
      </w:r>
    </w:p>
    <w:p w:rsidR="00ED2479" w:rsidRDefault="00ED2479" w:rsidP="00ED2479">
      <w:pPr>
        <w:spacing w:line="276" w:lineRule="auto"/>
        <w:jc w:val="center"/>
        <w:rPr>
          <w:rFonts w:ascii="Book Antiqua" w:hAnsi="Book Antiqua" w:cs="Arial"/>
          <w:color w:val="000000"/>
          <w:sz w:val="22"/>
          <w:szCs w:val="22"/>
        </w:rPr>
      </w:pPr>
    </w:p>
    <w:p w:rsidR="00ED2479" w:rsidRDefault="00ED2479" w:rsidP="00ED2479">
      <w:pPr>
        <w:spacing w:line="276" w:lineRule="auto"/>
        <w:jc w:val="center"/>
        <w:rPr>
          <w:rFonts w:ascii="Book Antiqua" w:hAnsi="Book Antiqua" w:cs="Arial"/>
          <w:color w:val="000000"/>
          <w:sz w:val="22"/>
          <w:szCs w:val="22"/>
        </w:rPr>
      </w:pPr>
    </w:p>
    <w:p w:rsidR="00F91ABD" w:rsidRPr="00AE54C1" w:rsidRDefault="00F91ABD" w:rsidP="00AE54C1"/>
    <w:sectPr w:rsidR="00F91ABD" w:rsidRPr="00AE54C1" w:rsidSect="003B6923">
      <w:headerReference w:type="default" r:id="rId10"/>
      <w:footerReference w:type="default" r:id="rId11"/>
      <w:pgSz w:w="12240" w:h="15840" w:code="1"/>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E3" w:rsidRDefault="004D64E3" w:rsidP="009759C2">
      <w:r>
        <w:separator/>
      </w:r>
    </w:p>
  </w:endnote>
  <w:endnote w:type="continuationSeparator" w:id="0">
    <w:p w:rsidR="004D64E3" w:rsidRDefault="004D64E3" w:rsidP="0097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CF" w:rsidRDefault="00AE54C1" w:rsidP="00342240">
    <w:pPr>
      <w:pStyle w:val="Piedepgina"/>
    </w:pPr>
    <w:r>
      <w:rPr>
        <w:noProof/>
        <w:lang w:val="es-ES" w:eastAsia="es-ES"/>
      </w:rPr>
      <w:drawing>
        <wp:anchor distT="0" distB="0" distL="114300" distR="114300" simplePos="0" relativeHeight="251667456" behindDoc="0" locked="0" layoutInCell="1" allowOverlap="1" wp14:anchorId="639EEE7B" wp14:editId="632FD85F">
          <wp:simplePos x="0" y="0"/>
          <wp:positionH relativeFrom="page">
            <wp:posOffset>0</wp:posOffset>
          </wp:positionH>
          <wp:positionV relativeFrom="paragraph">
            <wp:posOffset>7621</wp:posOffset>
          </wp:positionV>
          <wp:extent cx="7767955" cy="791210"/>
          <wp:effectExtent l="0" t="0" r="4445" b="889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pie-05.png"/>
                  <pic:cNvPicPr/>
                </pic:nvPicPr>
                <pic:blipFill>
                  <a:blip r:embed="rId1">
                    <a:extLst>
                      <a:ext uri="{28A0092B-C50C-407E-A947-70E740481C1C}">
                        <a14:useLocalDpi xmlns:a14="http://schemas.microsoft.com/office/drawing/2010/main" val="0"/>
                      </a:ext>
                    </a:extLst>
                  </a:blip>
                  <a:stretch>
                    <a:fillRect/>
                  </a:stretch>
                </pic:blipFill>
                <pic:spPr>
                  <a:xfrm>
                    <a:off x="0" y="0"/>
                    <a:ext cx="7767955" cy="791210"/>
                  </a:xfrm>
                  <a:prstGeom prst="rect">
                    <a:avLst/>
                  </a:prstGeom>
                </pic:spPr>
              </pic:pic>
            </a:graphicData>
          </a:graphic>
          <wp14:sizeRelH relativeFrom="margin">
            <wp14:pctWidth>0</wp14:pctWidth>
          </wp14:sizeRelH>
          <wp14:sizeRelV relativeFrom="margin">
            <wp14:pctHeight>0</wp14:pctHeight>
          </wp14:sizeRelV>
        </wp:anchor>
      </w:drawing>
    </w:r>
    <w:r w:rsidR="00406BB2">
      <w:t>Junín 265 CABA</w:t>
    </w:r>
    <w:r w:rsidR="00406BB2">
      <w:ptab w:relativeTo="margin" w:alignment="center" w:leader="none"/>
    </w:r>
    <w:r w:rsidR="00406BB2">
      <w:t>Info@cadmira.org.ar</w:t>
    </w:r>
    <w:r w:rsidR="00406BB2">
      <w:ptab w:relativeTo="margin" w:alignment="right" w:leader="none"/>
    </w:r>
    <w:r w:rsidR="00406BB2">
      <w:t xml:space="preserve">Tel: </w:t>
    </w:r>
    <w:r w:rsidR="00342240">
      <w:t>5273-4442</w:t>
    </w:r>
  </w:p>
  <w:p w:rsidR="00342240" w:rsidRDefault="00342240">
    <w:pPr>
      <w:pStyle w:val="Piedepgina"/>
    </w:pPr>
    <w:r>
      <w:tab/>
    </w:r>
    <w:r>
      <w:tab/>
      <w:t>WhatsApp: 11 2666 6217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E3" w:rsidRDefault="004D64E3" w:rsidP="009759C2">
      <w:r>
        <w:separator/>
      </w:r>
    </w:p>
  </w:footnote>
  <w:footnote w:type="continuationSeparator" w:id="0">
    <w:p w:rsidR="004D64E3" w:rsidRDefault="004D64E3" w:rsidP="0097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CF" w:rsidRPr="009759C2" w:rsidRDefault="00406BB2" w:rsidP="009759C2">
    <w:pPr>
      <w:pStyle w:val="Encabezado"/>
    </w:pPr>
    <w:r>
      <w:rPr>
        <w:noProof/>
        <w:lang w:val="es-ES" w:eastAsia="es-ES"/>
      </w:rPr>
      <w:drawing>
        <wp:anchor distT="0" distB="0" distL="114300" distR="114300" simplePos="0" relativeHeight="251659264" behindDoc="0" locked="0" layoutInCell="1" allowOverlap="1" wp14:anchorId="6E0A7BF3" wp14:editId="234217E9">
          <wp:simplePos x="0" y="0"/>
          <wp:positionH relativeFrom="column">
            <wp:posOffset>-428625</wp:posOffset>
          </wp:positionH>
          <wp:positionV relativeFrom="paragraph">
            <wp:posOffset>-239395</wp:posOffset>
          </wp:positionV>
          <wp:extent cx="1352550" cy="1180465"/>
          <wp:effectExtent l="0" t="0" r="0" b="635"/>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3.png"/>
                  <pic:cNvPicPr/>
                </pic:nvPicPr>
                <pic:blipFill>
                  <a:blip r:embed="rId1">
                    <a:extLst>
                      <a:ext uri="{28A0092B-C50C-407E-A947-70E740481C1C}">
                        <a14:useLocalDpi xmlns:a14="http://schemas.microsoft.com/office/drawing/2010/main" val="0"/>
                      </a:ext>
                    </a:extLst>
                  </a:blip>
                  <a:stretch>
                    <a:fillRect/>
                  </a:stretch>
                </pic:blipFill>
                <pic:spPr>
                  <a:xfrm>
                    <a:off x="0" y="0"/>
                    <a:ext cx="1352550" cy="1180465"/>
                  </a:xfrm>
                  <a:prstGeom prst="rect">
                    <a:avLst/>
                  </a:prstGeom>
                </pic:spPr>
              </pic:pic>
            </a:graphicData>
          </a:graphic>
          <wp14:sizeRelH relativeFrom="margin">
            <wp14:pctWidth>0</wp14:pctWidth>
          </wp14:sizeRelH>
          <wp14:sizeRelV relativeFrom="margin">
            <wp14:pctHeight>0</wp14:pctHeight>
          </wp14:sizeRelV>
        </wp:anchor>
      </w:drawing>
    </w:r>
    <w:r w:rsidR="003E19CF">
      <w:rPr>
        <w:noProof/>
        <w:lang w:val="es-ES" w:eastAsia="es-ES"/>
      </w:rPr>
      <w:drawing>
        <wp:anchor distT="0" distB="0" distL="114300" distR="114300" simplePos="0" relativeHeight="251658240" behindDoc="0" locked="0" layoutInCell="1" allowOverlap="1" wp14:anchorId="4A3A8BA2" wp14:editId="430BA7A2">
          <wp:simplePos x="0" y="0"/>
          <wp:positionH relativeFrom="page">
            <wp:align>right</wp:align>
          </wp:positionH>
          <wp:positionV relativeFrom="paragraph">
            <wp:posOffset>-534035</wp:posOffset>
          </wp:positionV>
          <wp:extent cx="7771130" cy="2120900"/>
          <wp:effectExtent l="0" t="0" r="127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01.png"/>
                  <pic:cNvPicPr/>
                </pic:nvPicPr>
                <pic:blipFill>
                  <a:blip r:embed="rId2">
                    <a:extLst>
                      <a:ext uri="{28A0092B-C50C-407E-A947-70E740481C1C}">
                        <a14:useLocalDpi xmlns:a14="http://schemas.microsoft.com/office/drawing/2010/main" val="0"/>
                      </a:ext>
                    </a:extLst>
                  </a:blip>
                  <a:stretch>
                    <a:fillRect/>
                  </a:stretch>
                </pic:blipFill>
                <pic:spPr>
                  <a:xfrm>
                    <a:off x="0" y="0"/>
                    <a:ext cx="7771130" cy="2120900"/>
                  </a:xfrm>
                  <a:prstGeom prst="rect">
                    <a:avLst/>
                  </a:prstGeom>
                </pic:spPr>
              </pic:pic>
            </a:graphicData>
          </a:graphic>
          <wp14:sizeRelH relativeFrom="margin">
            <wp14:pctWidth>0</wp14:pctWidth>
          </wp14:sizeRelH>
          <wp14:sizeRelV relativeFrom="margin">
            <wp14:pctHeight>0</wp14:pctHeight>
          </wp14:sizeRelV>
        </wp:anchor>
      </w:drawing>
    </w:r>
    <w:r w:rsidR="003E19CF">
      <w:rPr>
        <w:noProof/>
        <w:lang w:val="es-ES" w:eastAsia="es-ES"/>
      </w:rPr>
      <w:drawing>
        <wp:anchor distT="0" distB="0" distL="114300" distR="114300" simplePos="0" relativeHeight="251660288" behindDoc="0" locked="0" layoutInCell="1" allowOverlap="1" wp14:anchorId="2FFD68D2" wp14:editId="27AB1FD3">
          <wp:simplePos x="0" y="0"/>
          <wp:positionH relativeFrom="column">
            <wp:posOffset>4571418</wp:posOffset>
          </wp:positionH>
          <wp:positionV relativeFrom="paragraph">
            <wp:posOffset>172336</wp:posOffset>
          </wp:positionV>
          <wp:extent cx="1567815" cy="695325"/>
          <wp:effectExtent l="0" t="0" r="0" b="9525"/>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e-fecoba-04.png"/>
                  <pic:cNvPicPr/>
                </pic:nvPicPr>
                <pic:blipFill>
                  <a:blip r:embed="rId3">
                    <a:extLst>
                      <a:ext uri="{28A0092B-C50C-407E-A947-70E740481C1C}">
                        <a14:useLocalDpi xmlns:a14="http://schemas.microsoft.com/office/drawing/2010/main" val="0"/>
                      </a:ext>
                    </a:extLst>
                  </a:blip>
                  <a:stretch>
                    <a:fillRect/>
                  </a:stretch>
                </pic:blipFill>
                <pic:spPr>
                  <a:xfrm>
                    <a:off x="0" y="0"/>
                    <a:ext cx="156781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ADB"/>
    <w:multiLevelType w:val="hybridMultilevel"/>
    <w:tmpl w:val="63B0E47C"/>
    <w:lvl w:ilvl="0" w:tplc="080A0001">
      <w:start w:val="1"/>
      <w:numFmt w:val="bullet"/>
      <w:lvlText w:val=""/>
      <w:lvlJc w:val="left"/>
      <w:pPr>
        <w:ind w:left="3981" w:hanging="360"/>
      </w:pPr>
      <w:rPr>
        <w:rFonts w:ascii="Symbol" w:hAnsi="Symbol" w:hint="default"/>
      </w:rPr>
    </w:lvl>
    <w:lvl w:ilvl="1" w:tplc="080A0003" w:tentative="1">
      <w:start w:val="1"/>
      <w:numFmt w:val="bullet"/>
      <w:lvlText w:val="o"/>
      <w:lvlJc w:val="left"/>
      <w:pPr>
        <w:ind w:left="4701" w:hanging="360"/>
      </w:pPr>
      <w:rPr>
        <w:rFonts w:ascii="Courier New" w:hAnsi="Courier New" w:cs="Courier New" w:hint="default"/>
      </w:rPr>
    </w:lvl>
    <w:lvl w:ilvl="2" w:tplc="080A0005" w:tentative="1">
      <w:start w:val="1"/>
      <w:numFmt w:val="bullet"/>
      <w:lvlText w:val=""/>
      <w:lvlJc w:val="left"/>
      <w:pPr>
        <w:ind w:left="5421" w:hanging="360"/>
      </w:pPr>
      <w:rPr>
        <w:rFonts w:ascii="Wingdings" w:hAnsi="Wingdings" w:hint="default"/>
      </w:rPr>
    </w:lvl>
    <w:lvl w:ilvl="3" w:tplc="080A0001" w:tentative="1">
      <w:start w:val="1"/>
      <w:numFmt w:val="bullet"/>
      <w:lvlText w:val=""/>
      <w:lvlJc w:val="left"/>
      <w:pPr>
        <w:ind w:left="6141" w:hanging="360"/>
      </w:pPr>
      <w:rPr>
        <w:rFonts w:ascii="Symbol" w:hAnsi="Symbol" w:hint="default"/>
      </w:rPr>
    </w:lvl>
    <w:lvl w:ilvl="4" w:tplc="080A0003" w:tentative="1">
      <w:start w:val="1"/>
      <w:numFmt w:val="bullet"/>
      <w:lvlText w:val="o"/>
      <w:lvlJc w:val="left"/>
      <w:pPr>
        <w:ind w:left="6861" w:hanging="360"/>
      </w:pPr>
      <w:rPr>
        <w:rFonts w:ascii="Courier New" w:hAnsi="Courier New" w:cs="Courier New" w:hint="default"/>
      </w:rPr>
    </w:lvl>
    <w:lvl w:ilvl="5" w:tplc="080A0005" w:tentative="1">
      <w:start w:val="1"/>
      <w:numFmt w:val="bullet"/>
      <w:lvlText w:val=""/>
      <w:lvlJc w:val="left"/>
      <w:pPr>
        <w:ind w:left="7581" w:hanging="360"/>
      </w:pPr>
      <w:rPr>
        <w:rFonts w:ascii="Wingdings" w:hAnsi="Wingdings" w:hint="default"/>
      </w:rPr>
    </w:lvl>
    <w:lvl w:ilvl="6" w:tplc="080A0001" w:tentative="1">
      <w:start w:val="1"/>
      <w:numFmt w:val="bullet"/>
      <w:lvlText w:val=""/>
      <w:lvlJc w:val="left"/>
      <w:pPr>
        <w:ind w:left="8301" w:hanging="360"/>
      </w:pPr>
      <w:rPr>
        <w:rFonts w:ascii="Symbol" w:hAnsi="Symbol" w:hint="default"/>
      </w:rPr>
    </w:lvl>
    <w:lvl w:ilvl="7" w:tplc="080A0003" w:tentative="1">
      <w:start w:val="1"/>
      <w:numFmt w:val="bullet"/>
      <w:lvlText w:val="o"/>
      <w:lvlJc w:val="left"/>
      <w:pPr>
        <w:ind w:left="9021" w:hanging="360"/>
      </w:pPr>
      <w:rPr>
        <w:rFonts w:ascii="Courier New" w:hAnsi="Courier New" w:cs="Courier New" w:hint="default"/>
      </w:rPr>
    </w:lvl>
    <w:lvl w:ilvl="8" w:tplc="080A0005" w:tentative="1">
      <w:start w:val="1"/>
      <w:numFmt w:val="bullet"/>
      <w:lvlText w:val=""/>
      <w:lvlJc w:val="left"/>
      <w:pPr>
        <w:ind w:left="9741" w:hanging="360"/>
      </w:pPr>
      <w:rPr>
        <w:rFonts w:ascii="Wingdings" w:hAnsi="Wingdings" w:hint="default"/>
      </w:rPr>
    </w:lvl>
  </w:abstractNum>
  <w:abstractNum w:abstractNumId="1" w15:restartNumberingAfterBreak="0">
    <w:nsid w:val="3EE064EC"/>
    <w:multiLevelType w:val="hybridMultilevel"/>
    <w:tmpl w:val="F3CA4070"/>
    <w:lvl w:ilvl="0" w:tplc="080A0001">
      <w:start w:val="1"/>
      <w:numFmt w:val="bullet"/>
      <w:lvlText w:val=""/>
      <w:lvlJc w:val="left"/>
      <w:pPr>
        <w:ind w:left="3981" w:hanging="360"/>
      </w:pPr>
      <w:rPr>
        <w:rFonts w:ascii="Symbol" w:hAnsi="Symbol" w:hint="default"/>
      </w:rPr>
    </w:lvl>
    <w:lvl w:ilvl="1" w:tplc="080A0003" w:tentative="1">
      <w:start w:val="1"/>
      <w:numFmt w:val="bullet"/>
      <w:lvlText w:val="o"/>
      <w:lvlJc w:val="left"/>
      <w:pPr>
        <w:ind w:left="4701" w:hanging="360"/>
      </w:pPr>
      <w:rPr>
        <w:rFonts w:ascii="Courier New" w:hAnsi="Courier New" w:cs="Courier New" w:hint="default"/>
      </w:rPr>
    </w:lvl>
    <w:lvl w:ilvl="2" w:tplc="080A0005" w:tentative="1">
      <w:start w:val="1"/>
      <w:numFmt w:val="bullet"/>
      <w:lvlText w:val=""/>
      <w:lvlJc w:val="left"/>
      <w:pPr>
        <w:ind w:left="5421" w:hanging="360"/>
      </w:pPr>
      <w:rPr>
        <w:rFonts w:ascii="Wingdings" w:hAnsi="Wingdings" w:hint="default"/>
      </w:rPr>
    </w:lvl>
    <w:lvl w:ilvl="3" w:tplc="080A0001" w:tentative="1">
      <w:start w:val="1"/>
      <w:numFmt w:val="bullet"/>
      <w:lvlText w:val=""/>
      <w:lvlJc w:val="left"/>
      <w:pPr>
        <w:ind w:left="6141" w:hanging="360"/>
      </w:pPr>
      <w:rPr>
        <w:rFonts w:ascii="Symbol" w:hAnsi="Symbol" w:hint="default"/>
      </w:rPr>
    </w:lvl>
    <w:lvl w:ilvl="4" w:tplc="080A0003" w:tentative="1">
      <w:start w:val="1"/>
      <w:numFmt w:val="bullet"/>
      <w:lvlText w:val="o"/>
      <w:lvlJc w:val="left"/>
      <w:pPr>
        <w:ind w:left="6861" w:hanging="360"/>
      </w:pPr>
      <w:rPr>
        <w:rFonts w:ascii="Courier New" w:hAnsi="Courier New" w:cs="Courier New" w:hint="default"/>
      </w:rPr>
    </w:lvl>
    <w:lvl w:ilvl="5" w:tplc="080A0005" w:tentative="1">
      <w:start w:val="1"/>
      <w:numFmt w:val="bullet"/>
      <w:lvlText w:val=""/>
      <w:lvlJc w:val="left"/>
      <w:pPr>
        <w:ind w:left="7581" w:hanging="360"/>
      </w:pPr>
      <w:rPr>
        <w:rFonts w:ascii="Wingdings" w:hAnsi="Wingdings" w:hint="default"/>
      </w:rPr>
    </w:lvl>
    <w:lvl w:ilvl="6" w:tplc="080A0001" w:tentative="1">
      <w:start w:val="1"/>
      <w:numFmt w:val="bullet"/>
      <w:lvlText w:val=""/>
      <w:lvlJc w:val="left"/>
      <w:pPr>
        <w:ind w:left="8301" w:hanging="360"/>
      </w:pPr>
      <w:rPr>
        <w:rFonts w:ascii="Symbol" w:hAnsi="Symbol" w:hint="default"/>
      </w:rPr>
    </w:lvl>
    <w:lvl w:ilvl="7" w:tplc="080A0003" w:tentative="1">
      <w:start w:val="1"/>
      <w:numFmt w:val="bullet"/>
      <w:lvlText w:val="o"/>
      <w:lvlJc w:val="left"/>
      <w:pPr>
        <w:ind w:left="9021" w:hanging="360"/>
      </w:pPr>
      <w:rPr>
        <w:rFonts w:ascii="Courier New" w:hAnsi="Courier New" w:cs="Courier New" w:hint="default"/>
      </w:rPr>
    </w:lvl>
    <w:lvl w:ilvl="8" w:tplc="080A0005" w:tentative="1">
      <w:start w:val="1"/>
      <w:numFmt w:val="bullet"/>
      <w:lvlText w:val=""/>
      <w:lvlJc w:val="left"/>
      <w:pPr>
        <w:ind w:left="9741" w:hanging="360"/>
      </w:pPr>
      <w:rPr>
        <w:rFonts w:ascii="Wingdings" w:hAnsi="Wingdings" w:hint="default"/>
      </w:rPr>
    </w:lvl>
  </w:abstractNum>
  <w:abstractNum w:abstractNumId="2" w15:restartNumberingAfterBreak="0">
    <w:nsid w:val="6014178F"/>
    <w:multiLevelType w:val="hybridMultilevel"/>
    <w:tmpl w:val="68564794"/>
    <w:lvl w:ilvl="0" w:tplc="63D69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2"/>
    <w:rsid w:val="00040283"/>
    <w:rsid w:val="000434E2"/>
    <w:rsid w:val="000A653D"/>
    <w:rsid w:val="000B71D1"/>
    <w:rsid w:val="0017687C"/>
    <w:rsid w:val="00180992"/>
    <w:rsid w:val="00187027"/>
    <w:rsid w:val="001979F7"/>
    <w:rsid w:val="001D3EEE"/>
    <w:rsid w:val="0022478B"/>
    <w:rsid w:val="00236718"/>
    <w:rsid w:val="0024055E"/>
    <w:rsid w:val="002663E9"/>
    <w:rsid w:val="002B4BBE"/>
    <w:rsid w:val="002D1870"/>
    <w:rsid w:val="00304011"/>
    <w:rsid w:val="00304449"/>
    <w:rsid w:val="00322B8B"/>
    <w:rsid w:val="00342240"/>
    <w:rsid w:val="0038134C"/>
    <w:rsid w:val="003B6923"/>
    <w:rsid w:val="003E0899"/>
    <w:rsid w:val="003E19CF"/>
    <w:rsid w:val="00406BB2"/>
    <w:rsid w:val="004742EA"/>
    <w:rsid w:val="004D64E3"/>
    <w:rsid w:val="00563309"/>
    <w:rsid w:val="00565360"/>
    <w:rsid w:val="00590360"/>
    <w:rsid w:val="00590666"/>
    <w:rsid w:val="005F022E"/>
    <w:rsid w:val="00622343"/>
    <w:rsid w:val="006E7D1D"/>
    <w:rsid w:val="00732763"/>
    <w:rsid w:val="007601CF"/>
    <w:rsid w:val="007A7610"/>
    <w:rsid w:val="007A7833"/>
    <w:rsid w:val="007C3C76"/>
    <w:rsid w:val="00852B90"/>
    <w:rsid w:val="00953901"/>
    <w:rsid w:val="009673BC"/>
    <w:rsid w:val="0097144D"/>
    <w:rsid w:val="00972A4E"/>
    <w:rsid w:val="009759C2"/>
    <w:rsid w:val="009848B7"/>
    <w:rsid w:val="009B0BEC"/>
    <w:rsid w:val="009D0AFB"/>
    <w:rsid w:val="009F12F7"/>
    <w:rsid w:val="00A679A9"/>
    <w:rsid w:val="00A94D04"/>
    <w:rsid w:val="00AD3CCA"/>
    <w:rsid w:val="00AE54C1"/>
    <w:rsid w:val="00BA05DE"/>
    <w:rsid w:val="00BF415A"/>
    <w:rsid w:val="00C171FA"/>
    <w:rsid w:val="00CB309E"/>
    <w:rsid w:val="00D40760"/>
    <w:rsid w:val="00DE5FBC"/>
    <w:rsid w:val="00DF0675"/>
    <w:rsid w:val="00E65D17"/>
    <w:rsid w:val="00EB7A05"/>
    <w:rsid w:val="00ED2479"/>
    <w:rsid w:val="00F36E24"/>
    <w:rsid w:val="00F37D9B"/>
    <w:rsid w:val="00F53095"/>
    <w:rsid w:val="00F83534"/>
    <w:rsid w:val="00F91ABD"/>
    <w:rsid w:val="00FA1A6B"/>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54AEA-77C5-4ABD-9424-C4DDB8EB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22E"/>
    <w:pPr>
      <w:spacing w:after="0" w:line="240" w:lineRule="auto"/>
    </w:pPr>
    <w:rPr>
      <w:rFonts w:ascii="Times" w:eastAsia="Times" w:hAnsi="Times"/>
      <w:sz w:val="24"/>
      <w:szCs w:val="20"/>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9C2"/>
    <w:pPr>
      <w:tabs>
        <w:tab w:val="center" w:pos="4680"/>
        <w:tab w:val="right" w:pos="9360"/>
      </w:tabs>
    </w:pPr>
    <w:rPr>
      <w:rFonts w:asciiTheme="minorHAnsi" w:eastAsiaTheme="minorHAnsi" w:hAnsiTheme="minorHAnsi"/>
      <w:sz w:val="22"/>
      <w:szCs w:val="22"/>
      <w:lang w:val="en-US" w:eastAsia="en-US"/>
    </w:rPr>
  </w:style>
  <w:style w:type="character" w:customStyle="1" w:styleId="EncabezadoCar">
    <w:name w:val="Encabezado Car"/>
    <w:basedOn w:val="Fuentedeprrafopredeter"/>
    <w:link w:val="Encabezado"/>
    <w:uiPriority w:val="99"/>
    <w:rsid w:val="009759C2"/>
  </w:style>
  <w:style w:type="paragraph" w:styleId="Piedepgina">
    <w:name w:val="footer"/>
    <w:basedOn w:val="Normal"/>
    <w:link w:val="PiedepginaCar"/>
    <w:uiPriority w:val="99"/>
    <w:unhideWhenUsed/>
    <w:rsid w:val="009759C2"/>
    <w:pPr>
      <w:tabs>
        <w:tab w:val="center" w:pos="4680"/>
        <w:tab w:val="right" w:pos="9360"/>
      </w:tabs>
    </w:pPr>
    <w:rPr>
      <w:rFonts w:asciiTheme="minorHAnsi" w:eastAsiaTheme="minorHAnsi" w:hAnsiTheme="minorHAnsi"/>
      <w:sz w:val="22"/>
      <w:szCs w:val="22"/>
      <w:lang w:val="en-US" w:eastAsia="en-US"/>
    </w:rPr>
  </w:style>
  <w:style w:type="character" w:customStyle="1" w:styleId="PiedepginaCar">
    <w:name w:val="Pie de página Car"/>
    <w:basedOn w:val="Fuentedeprrafopredeter"/>
    <w:link w:val="Piedepgina"/>
    <w:uiPriority w:val="99"/>
    <w:rsid w:val="009759C2"/>
  </w:style>
  <w:style w:type="paragraph" w:styleId="Prrafodelista">
    <w:name w:val="List Paragraph"/>
    <w:basedOn w:val="Normal"/>
    <w:uiPriority w:val="34"/>
    <w:qFormat/>
    <w:rsid w:val="002B4BBE"/>
    <w:pPr>
      <w:spacing w:after="160" w:line="259" w:lineRule="auto"/>
      <w:ind w:left="720"/>
      <w:contextualSpacing/>
    </w:pPr>
    <w:rPr>
      <w:rFonts w:asciiTheme="minorHAnsi" w:eastAsia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FA6-E7AD-42F1-B4A2-1837445A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cadmira 03</cp:lastModifiedBy>
  <cp:revision>3</cp:revision>
  <cp:lastPrinted>2020-05-26T14:29:00Z</cp:lastPrinted>
  <dcterms:created xsi:type="dcterms:W3CDTF">2020-10-23T20:12:00Z</dcterms:created>
  <dcterms:modified xsi:type="dcterms:W3CDTF">2020-10-23T20:22:00Z</dcterms:modified>
</cp:coreProperties>
</file>